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jc w:val="left"/>
        <w:rPr>
          <w:rFonts w:ascii="黑体" w:hAnsi="黑体" w:eastAsia="黑体"/>
          <w:b/>
          <w:color w:val="000000" w:themeColor="text1"/>
          <w:sz w:val="32"/>
          <w:szCs w:val="32"/>
          <w14:textFill>
            <w14:solidFill>
              <w14:schemeClr w14:val="tx1"/>
            </w14:solidFill>
          </w14:textFill>
        </w:rPr>
      </w:pPr>
    </w:p>
    <w:p>
      <w:pPr>
        <w:ind w:firstLine="960" w:firstLineChars="30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附件一：</w:t>
      </w:r>
    </w:p>
    <w:p>
      <w:pPr>
        <w:ind w:firstLine="3520" w:firstLineChars="11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耗材</w:t>
      </w:r>
      <w:r>
        <w:rPr>
          <w:rFonts w:hint="eastAsia" w:ascii="黑体" w:hAnsi="黑体" w:eastAsia="黑体"/>
          <w:b/>
          <w:color w:val="000000" w:themeColor="text1"/>
          <w:sz w:val="32"/>
          <w:szCs w:val="32"/>
          <w:lang w:eastAsia="zh-CN"/>
          <w14:textFill>
            <w14:solidFill>
              <w14:schemeClr w14:val="tx1"/>
            </w14:solidFill>
          </w14:textFill>
        </w:rPr>
        <w:t>一批</w:t>
      </w:r>
      <w:r>
        <w:rPr>
          <w:rFonts w:hint="eastAsia" w:ascii="黑体" w:hAnsi="黑体" w:eastAsia="黑体"/>
          <w:b/>
          <w:color w:val="000000" w:themeColor="text1"/>
          <w:sz w:val="32"/>
          <w:szCs w:val="32"/>
          <w14:textFill>
            <w14:solidFill>
              <w14:schemeClr w14:val="tx1"/>
            </w14:solidFill>
          </w14:textFill>
        </w:rPr>
        <w:t>需求表</w:t>
      </w:r>
    </w:p>
    <w:p>
      <w:pPr>
        <w:rPr>
          <w:color w:val="000000" w:themeColor="text1"/>
          <w14:textFill>
            <w14:solidFill>
              <w14:schemeClr w14:val="tx1"/>
            </w14:solidFill>
          </w14:textFill>
        </w:rPr>
      </w:pPr>
    </w:p>
    <w:tbl>
      <w:tblPr>
        <w:tblStyle w:val="4"/>
        <w:tblW w:w="8784" w:type="dxa"/>
        <w:jc w:val="center"/>
        <w:tblLayout w:type="autofit"/>
        <w:tblCellMar>
          <w:top w:w="0" w:type="dxa"/>
          <w:left w:w="108" w:type="dxa"/>
          <w:bottom w:w="0" w:type="dxa"/>
          <w:right w:w="108" w:type="dxa"/>
        </w:tblCellMar>
      </w:tblPr>
      <w:tblGrid>
        <w:gridCol w:w="567"/>
        <w:gridCol w:w="1698"/>
        <w:gridCol w:w="1417"/>
        <w:gridCol w:w="5102"/>
      </w:tblGrid>
      <w:tr>
        <w:tblPrEx>
          <w:tblCellMar>
            <w:top w:w="0" w:type="dxa"/>
            <w:left w:w="108" w:type="dxa"/>
            <w:bottom w:w="0" w:type="dxa"/>
            <w:right w:w="108" w:type="dxa"/>
          </w:tblCellMar>
        </w:tblPrEx>
        <w:trPr>
          <w:trHeight w:val="69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themeColor="text1"/>
                <w:kern w:val="0"/>
                <w:szCs w:val="21"/>
                <w14:textFill>
                  <w14:solidFill>
                    <w14:schemeClr w14:val="tx1"/>
                  </w14:solidFill>
                </w14:textFill>
              </w:rPr>
            </w:pPr>
            <w:r>
              <w:rPr>
                <w:rFonts w:hint="eastAsia" w:ascii="黑体" w:hAnsi="黑体" w:eastAsia="黑体" w:cs="宋体"/>
                <w:b/>
                <w:bCs/>
                <w:color w:val="000000" w:themeColor="text1"/>
                <w:kern w:val="0"/>
                <w:szCs w:val="21"/>
                <w14:textFill>
                  <w14:solidFill>
                    <w14:schemeClr w14:val="tx1"/>
                  </w14:solidFill>
                </w14:textFill>
              </w:rPr>
              <w:t>序号</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themeColor="text1"/>
                <w:kern w:val="0"/>
                <w:szCs w:val="21"/>
                <w14:textFill>
                  <w14:solidFill>
                    <w14:schemeClr w14:val="tx1"/>
                  </w14:solidFill>
                </w14:textFill>
              </w:rPr>
            </w:pPr>
            <w:r>
              <w:rPr>
                <w:rFonts w:hint="eastAsia" w:ascii="黑体" w:hAnsi="黑体" w:eastAsia="黑体" w:cs="宋体"/>
                <w:b/>
                <w:bCs/>
                <w:color w:val="000000" w:themeColor="text1"/>
                <w:kern w:val="0"/>
                <w:szCs w:val="21"/>
                <w14:textFill>
                  <w14:solidFill>
                    <w14:schemeClr w14:val="tx1"/>
                  </w14:solidFill>
                </w14:textFill>
              </w:rPr>
              <w:t>产品名称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themeColor="text1"/>
                <w:kern w:val="0"/>
                <w:szCs w:val="21"/>
                <w14:textFill>
                  <w14:solidFill>
                    <w14:schemeClr w14:val="tx1"/>
                  </w14:solidFill>
                </w14:textFill>
              </w:rPr>
            </w:pPr>
            <w:r>
              <w:rPr>
                <w:rFonts w:hint="eastAsia" w:ascii="黑体" w:hAnsi="黑体" w:eastAsia="黑体" w:cs="宋体"/>
                <w:b/>
                <w:bCs/>
                <w:color w:val="000000" w:themeColor="text1"/>
                <w:kern w:val="0"/>
                <w:szCs w:val="21"/>
                <w14:textFill>
                  <w14:solidFill>
                    <w14:schemeClr w14:val="tx1"/>
                  </w14:solidFill>
                </w14:textFill>
              </w:rPr>
              <w:t>规格及型号</w:t>
            </w:r>
          </w:p>
        </w:tc>
        <w:tc>
          <w:tcPr>
            <w:tcW w:w="510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themeColor="text1"/>
                <w:kern w:val="0"/>
                <w:szCs w:val="21"/>
                <w14:textFill>
                  <w14:solidFill>
                    <w14:schemeClr w14:val="tx1"/>
                  </w14:solidFill>
                </w14:textFill>
              </w:rPr>
            </w:pPr>
            <w:r>
              <w:rPr>
                <w:rFonts w:hint="eastAsia" w:ascii="黑体" w:hAnsi="黑体" w:eastAsia="黑体" w:cs="宋体"/>
                <w:b/>
                <w:bCs/>
                <w:color w:val="000000" w:themeColor="text1"/>
                <w:kern w:val="0"/>
                <w:szCs w:val="21"/>
                <w14:textFill>
                  <w14:solidFill>
                    <w14:schemeClr w14:val="tx1"/>
                  </w14:solidFill>
                </w14:textFill>
              </w:rPr>
              <w:t>技术要求</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注射用透明质酸钠复合溶液</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1.0mL/支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用于皮内真皮层注射填充，以纠正颈部中重度皱纹。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注射用透明质酸钠复合溶液</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1.5mL/支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用于皮内真皮层注射填充，以纠正颈部中重度皱纹。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注射用透明质酸钠复合溶液</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2.5mL/支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用于皮内真皮层注射填充，以纠正颈部中重度皱纹。</w:t>
            </w:r>
          </w:p>
        </w:tc>
      </w:tr>
      <w:tr>
        <w:tblPrEx>
          <w:tblCellMar>
            <w:top w:w="0" w:type="dxa"/>
            <w:left w:w="108" w:type="dxa"/>
            <w:bottom w:w="0" w:type="dxa"/>
            <w:right w:w="108" w:type="dxa"/>
          </w:tblCellMar>
        </w:tblPrEx>
        <w:trPr>
          <w:trHeight w:val="728"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4</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含左旋乳酸-乙二醇共聚物微球的交联透明质酸钠凝胶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0.75ml/支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用于真皮深层、皮下浅层及深层注射填充纠正中、重度鼻唇沟皱纹。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5</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2.0 ml : 24 mg</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微整形注射用（真皮深层）</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6</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1.0mL/支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微整形注射用（真皮层下骨膜上，鼻唇沟）</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7</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微整形注射用，适用于面部真皮组织中层至深层注射，以纠正中重度鼻唇部皱纹。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8</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微整形注射用，适用于面部真皮组织深层至皮下组织层注射，以纠正重度鼻唇沟皱纹。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9</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胶原贴敷料</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方形、 圆形</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用于皮肤过敏、激光、光子术后创面修复辅助治疗（激光、光子术后创面深度不超过真皮层，单个光斑扫描面积不大于20mm x 20mm）。</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10</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胶原贴敷料</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圆形、方形</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用于轻中度炎症痤疮、痤疮愈后早期色素沉着、痤疮愈后早期表浅性疤痕的治疗；对治疗皮肤过敏，减轻激光、光子治疗术后疤痕的形成有辅助疗效；在创面愈合期有减轻色素沉着的作用。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11</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化学换肤术护理包</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套</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复合酸、包含但不限于皮肤修护无菌敷料、医用棉片、医用棉垫和医用棉签。</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12</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用于唇红体和唇红缘的皮下（或粘膜下）注射填充唇部。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13</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一次性使用无菌注射针</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九针</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由导液接头、调节旋钮、粘合剂、针座、注胶套、壳体、针管、负压抽吸端组成。供水光注射项目使用。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14</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医用透明质酸钠修复液</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1g</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用于轻中度痤疮、促进创面愈合与皮肤修复；对痤疮愈后、皮肤过敏与激光光子治疗术后早期色素沉着和减轻瘢痕形成有辅助治疗作用。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15</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医用透明质酸钠修护敷料</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5ml/瓶</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用于非慢性创面（如浅表性创面、手术后缝合创面、机械创伤、小创口、擦伤、切割伤创面、I度或浅II度的烧烫伤创面、激光/光子/果酸换</w:t>
            </w:r>
            <w:r>
              <w:rPr>
                <w:rFonts w:hint="eastAsia" w:ascii="黑体" w:hAnsi="黑体" w:eastAsia="黑体" w:cs="宋体"/>
                <w:color w:val="000000" w:themeColor="text1"/>
                <w:kern w:val="0"/>
                <w:szCs w:val="21"/>
                <w14:textFill>
                  <w14:solidFill>
                    <w14:schemeClr w14:val="tx1"/>
                  </w14:solidFill>
                </w14:textFill>
              </w:rPr>
              <w:br w:type="textWrapping"/>
            </w:r>
            <w:r>
              <w:rPr>
                <w:rFonts w:hint="eastAsia" w:ascii="黑体" w:hAnsi="黑体" w:eastAsia="黑体" w:cs="宋体"/>
                <w:color w:val="000000" w:themeColor="text1"/>
                <w:kern w:val="0"/>
                <w:szCs w:val="21"/>
                <w14:textFill>
                  <w14:solidFill>
                    <w14:schemeClr w14:val="tx1"/>
                  </w14:solidFill>
                </w14:textFill>
              </w:rPr>
              <w:t>肤/微整形术后创面）的护理，为创面愈合提供微环境。</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16</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一次性使用无菌注射针</w:t>
            </w:r>
          </w:p>
        </w:tc>
        <w:tc>
          <w:tcPr>
            <w:tcW w:w="1417" w:type="dxa"/>
            <w:tcBorders>
              <w:top w:val="nil"/>
              <w:left w:val="nil"/>
              <w:bottom w:val="single" w:color="auto" w:sz="4" w:space="0"/>
              <w:right w:val="single" w:color="auto" w:sz="4" w:space="0"/>
            </w:tcBorders>
            <w:vAlign w:val="center"/>
          </w:tcPr>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包括但不限于：</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30g*4mm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30g*13mm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32g*4mm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32g*13mm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34g*1.5mm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0.7*30mm</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1.2*30mm</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用于注射美容治疗时搭配注射器使用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17</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一次性使用钝末端注射针</w:t>
            </w:r>
          </w:p>
        </w:tc>
        <w:tc>
          <w:tcPr>
            <w:tcW w:w="1417" w:type="dxa"/>
            <w:tcBorders>
              <w:top w:val="nil"/>
              <w:left w:val="nil"/>
              <w:bottom w:val="single" w:color="auto" w:sz="4" w:space="0"/>
              <w:right w:val="single" w:color="auto" w:sz="4" w:space="0"/>
            </w:tcBorders>
            <w:vAlign w:val="center"/>
          </w:tcPr>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包括但不限于：</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 xml:space="preserve">21g、23g </w:t>
            </w:r>
          </w:p>
          <w:p>
            <w:pPr>
              <w:widowControl/>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 xml:space="preserve">25g、27g </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用于注射美容治疗时搭配注射器使用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w:t>
            </w:r>
            <w:r>
              <w:rPr>
                <w:rFonts w:ascii="黑体" w:hAnsi="黑体" w:eastAsia="黑体" w:cs="宋体"/>
                <w:color w:val="000000" w:themeColor="text1"/>
                <w:kern w:val="0"/>
                <w:szCs w:val="21"/>
                <w14:textFill>
                  <w14:solidFill>
                    <w14:schemeClr w14:val="tx1"/>
                  </w14:solidFill>
                </w14:textFill>
              </w:rPr>
              <w:t>8</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2.0ml</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微整形注射用（真皮浅层）</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19</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注射用交联透明质酸钠凝胶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凝胶颗粒悬液由经交联的透明质酸钠、盐酸利多卡因、氯化钠、磷酸二氢钠、磷酸氢二钠以及注射用水组成盐酸利多卡因标示浓度不超过3mg/mL，用于皮肤真皮中层至深层注射填充；也可用于做塑形，如用于鼻子、下巴、苹果肌、太阳穴等。要求是弹性好，抗压力强，组织支撑力良好，塑形能力更好，能快速恢复原状，适用于微整形注射填充。</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20</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注射用交联透明质酸钠凝胶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1-0.5ml/支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注射美容用，交联透明质酸钠标示浓度为24mg/ml，未经交联的透明质酸含量6%以内，适用于面部真皮组织中层至深层注射，以纠正重度鼻唇沟皱纹，可用于塑形填充，具备良好的组织支撑性。</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21</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注射用修饰透明质酸钠凝胶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透明质酸钠由微生物发酵法制备，标示浓度不超过20mg/mL，微整形注射用（主要用于面部凹陷组织填充）。</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22</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胶原蛋白植入剂</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用于面部真皮组织填充以纠正额部动力性皱纹。</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23</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医用胶原充填剂</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0.5ml  1.0ml</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用于面部真皮组织填充以纠正中、重度鼻唇沟。</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24</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医用透明质酸钠修复液</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5ml</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适用于轻中度痤疮、促进创面愈合与皮肤修复；对痤疮愈后、皮肤过敏与激光光子治疗术后早期色素沉着和减轻瘢痕形成有辅助治疗作用。</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25</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化学换肤术护理包</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g</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水杨酸，25-30%，化学制剂，用于化学焕肤等美容治疗。</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26</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医用生物胶</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 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由透明质酸钠及CT90基质溶液组成，一次性使用。其中CT90基质溶液是由氯化钠、氯化钙、氯化钾、氯化镁、碳酸氢钠、磷酸二氢钠、磷酸氢二钠溶于注射用水中制备而成的缓冲介质。用于非慢性创面及周围皮肤的护理，为创面愈合提供微环境。</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27</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无菌液体敷料</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由20%聚乙二醇400、80%纯化水制成的无菌液体敷料及聚丙烯喷瓶（或西林瓶）组成，用于小创口、擦伤、切割伤等非慢性创面及周围皮肤的护理。</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28</w:t>
            </w:r>
          </w:p>
        </w:tc>
        <w:tc>
          <w:tcPr>
            <w:tcW w:w="1698"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医用羧甲纤维素伤口敷膜</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3ml/瓶</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用于小创口、擦伤、切割伤等非慢性创面及周围皮肤的护理。</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29</w:t>
            </w:r>
          </w:p>
        </w:tc>
        <w:tc>
          <w:tcPr>
            <w:tcW w:w="1698" w:type="dxa"/>
            <w:tcBorders>
              <w:top w:val="nil"/>
              <w:left w:val="nil"/>
              <w:bottom w:val="single" w:color="auto" w:sz="4" w:space="0"/>
              <w:right w:val="nil"/>
            </w:tcBorders>
            <w:noWrap/>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聚乙二醇液体敷料</w:t>
            </w: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1ml/支</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由医用聚乙二醇 400、甘油和纯化水组成，以无菌形式提供。在创面表面形成保护层，起物理屏障作用，用于非慢性创面（小创口、擦伤、切割伤）及周围皮肤的护理。</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30</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医用重组Ⅲ型人源化胶原蛋白液体敷料</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5mL/支</w:t>
            </w:r>
          </w:p>
        </w:tc>
        <w:tc>
          <w:tcPr>
            <w:tcW w:w="5102"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用于非慢性创面（如浅表性创面、手术后缝合创面、机械创伤、小创口、擦伤、切割伤创面、穿刺器械的穿刺部位、I 度或浅 II 度的烧烫伤创面、激光/光子/果酸换肤/微整形术后创面）的护理，为创面愈合提供微环境。疮、激光</w:t>
            </w:r>
            <w:bookmarkStart w:id="0" w:name="_GoBack"/>
            <w:bookmarkEnd w:id="0"/>
            <w:r>
              <w:rPr>
                <w:rFonts w:hint="eastAsia" w:ascii="黑体" w:hAnsi="黑体" w:eastAsia="黑体" w:cs="宋体"/>
                <w:color w:val="000000" w:themeColor="text1"/>
                <w:kern w:val="0"/>
                <w:szCs w:val="21"/>
                <w14:textFill>
                  <w14:solidFill>
                    <w14:schemeClr w14:val="tx1"/>
                  </w14:solidFill>
                </w14:textFill>
              </w:rPr>
              <w:t>治疗术后等原因引起的皮肤炎症）的辅助治疗，促进皮肤修复，缩短病程，减轻炎症后色素沉着与瘢痕形成的风险，改善肌肤，延缓皮肤老化。</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31</w:t>
            </w:r>
          </w:p>
        </w:tc>
        <w:tc>
          <w:tcPr>
            <w:tcW w:w="1698" w:type="dxa"/>
            <w:tcBorders>
              <w:top w:val="nil"/>
              <w:left w:val="nil"/>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医用透明质酸钠敷料</w:t>
            </w:r>
          </w:p>
        </w:tc>
        <w:tc>
          <w:tcPr>
            <w:tcW w:w="1417"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30g×5片</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用于人体非慢性创面的护理，为浅表性创面、I度或浅II度的烧烫伤创面、激光手术后创面愈合提供微环境。</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32</w:t>
            </w:r>
          </w:p>
        </w:tc>
        <w:tc>
          <w:tcPr>
            <w:tcW w:w="1698" w:type="dxa"/>
            <w:tcBorders>
              <w:top w:val="nil"/>
              <w:left w:val="nil"/>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医用重组Ⅲ型人源胶原蛋白敷料</w:t>
            </w:r>
          </w:p>
        </w:tc>
        <w:tc>
          <w:tcPr>
            <w:tcW w:w="1417"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5ml/瓶</w:t>
            </w:r>
          </w:p>
        </w:tc>
        <w:tc>
          <w:tcPr>
            <w:tcW w:w="5102" w:type="dxa"/>
            <w:tcBorders>
              <w:top w:val="nil"/>
              <w:left w:val="nil"/>
              <w:bottom w:val="single" w:color="auto" w:sz="4" w:space="0"/>
              <w:right w:val="single" w:color="auto" w:sz="4" w:space="0"/>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用于人体浅表性创面，激光/光子/果酸换肤/微整形术后创面的护理，为创面愈合提供微环境。</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33</w:t>
            </w:r>
          </w:p>
        </w:tc>
        <w:tc>
          <w:tcPr>
            <w:tcW w:w="1698" w:type="dxa"/>
            <w:tcBorders>
              <w:top w:val="nil"/>
              <w:left w:val="nil"/>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一次性使用皮肤无菌滚针</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0.25mm、0.5mm、1.0mm</w:t>
            </w:r>
          </w:p>
        </w:tc>
        <w:tc>
          <w:tcPr>
            <w:tcW w:w="5102" w:type="dxa"/>
            <w:tcBorders>
              <w:top w:val="nil"/>
              <w:left w:val="nil"/>
              <w:bottom w:val="single" w:color="auto" w:sz="4" w:space="0"/>
              <w:right w:val="single" w:color="auto" w:sz="4" w:space="0"/>
            </w:tcBorders>
            <w:noWrap/>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用于体表特定部位的局部刺激，实施滚针疗法。</w:t>
            </w:r>
          </w:p>
        </w:tc>
      </w:tr>
    </w:tbl>
    <w:p>
      <w:pPr>
        <w:widowControl/>
        <w:jc w:val="left"/>
        <w:rPr>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 xml:space="preserve">      </w:t>
      </w:r>
    </w:p>
    <w:p>
      <w:pPr>
        <w:jc w:val="left"/>
        <w:rPr>
          <w:rFonts w:ascii="宋体" w:hAnsi="宋体" w:cs="宋体"/>
          <w:bCs/>
          <w:color w:val="000000" w:themeColor="text1"/>
          <w:kern w:val="0"/>
          <w:sz w:val="24"/>
          <w14:textFill>
            <w14:solidFill>
              <w14:schemeClr w14:val="tx1"/>
            </w14:solidFill>
          </w14:textFill>
        </w:rPr>
      </w:pPr>
      <w:r>
        <w:rPr>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p>
    <w:sectPr>
      <w:pgSz w:w="11906" w:h="16838"/>
      <w:pgMar w:top="284" w:right="851" w:bottom="284" w:left="851" w:header="624" w:footer="62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3NDM4MzQ4YTBjNDJkZGY4NDk5NzNmMGQ4MTM1OTkifQ=="/>
  </w:docVars>
  <w:rsids>
    <w:rsidRoot w:val="0074666C"/>
    <w:rsid w:val="00037683"/>
    <w:rsid w:val="000D7832"/>
    <w:rsid w:val="00161632"/>
    <w:rsid w:val="001B78FF"/>
    <w:rsid w:val="00246E0A"/>
    <w:rsid w:val="002A563F"/>
    <w:rsid w:val="002B06E8"/>
    <w:rsid w:val="002B162D"/>
    <w:rsid w:val="00331AB5"/>
    <w:rsid w:val="00346279"/>
    <w:rsid w:val="003956F9"/>
    <w:rsid w:val="003D15DD"/>
    <w:rsid w:val="003D3CE2"/>
    <w:rsid w:val="003E4DD0"/>
    <w:rsid w:val="00400A1C"/>
    <w:rsid w:val="00417DCF"/>
    <w:rsid w:val="00462C37"/>
    <w:rsid w:val="004F21DC"/>
    <w:rsid w:val="005D07FB"/>
    <w:rsid w:val="005E0B68"/>
    <w:rsid w:val="00602D12"/>
    <w:rsid w:val="00614117"/>
    <w:rsid w:val="006275C5"/>
    <w:rsid w:val="006C52EE"/>
    <w:rsid w:val="006E276D"/>
    <w:rsid w:val="0070202E"/>
    <w:rsid w:val="007133FD"/>
    <w:rsid w:val="00740C0C"/>
    <w:rsid w:val="0074666C"/>
    <w:rsid w:val="00763D3F"/>
    <w:rsid w:val="00777905"/>
    <w:rsid w:val="00783D94"/>
    <w:rsid w:val="00856774"/>
    <w:rsid w:val="00874F01"/>
    <w:rsid w:val="00894DCF"/>
    <w:rsid w:val="0092237D"/>
    <w:rsid w:val="00947BF8"/>
    <w:rsid w:val="00AB0EEC"/>
    <w:rsid w:val="00B510A7"/>
    <w:rsid w:val="00B91F44"/>
    <w:rsid w:val="00BB7FD5"/>
    <w:rsid w:val="00C77230"/>
    <w:rsid w:val="00C82205"/>
    <w:rsid w:val="00CF5523"/>
    <w:rsid w:val="00D94293"/>
    <w:rsid w:val="00DE2F99"/>
    <w:rsid w:val="00EC65D2"/>
    <w:rsid w:val="00EF23C6"/>
    <w:rsid w:val="00F401C5"/>
    <w:rsid w:val="00F65FC9"/>
    <w:rsid w:val="00FB3233"/>
    <w:rsid w:val="00FD26BC"/>
    <w:rsid w:val="00FE358E"/>
    <w:rsid w:val="06A5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1558-6E4E-4E54-9040-5F5DACC996DA}">
  <ds:schemaRefs/>
</ds:datastoreItem>
</file>

<file path=docProps/app.xml><?xml version="1.0" encoding="utf-8"?>
<Properties xmlns="http://schemas.openxmlformats.org/officeDocument/2006/extended-properties" xmlns:vt="http://schemas.openxmlformats.org/officeDocument/2006/docPropsVTypes">
  <Template>Normal</Template>
  <Pages>3</Pages>
  <Words>380</Words>
  <Characters>2169</Characters>
  <Lines>18</Lines>
  <Paragraphs>5</Paragraphs>
  <TotalTime>65</TotalTime>
  <ScaleCrop>false</ScaleCrop>
  <LinksUpToDate>false</LinksUpToDate>
  <CharactersWithSpaces>2544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佳一</cp:lastModifiedBy>
  <cp:revision>20</cp:revision>
  <dcterms:created xsi:type="dcterms:W3CDTF">2024-02-21T02:12:00Z</dcterms:created>
  <dcterms:modified xsi:type="dcterms:W3CDTF">2024-02-26T01:41:20Z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3113ABD1B6A740F5999A22E04A8BF086_12</vt:lpwstr>
  </property>
</Properties>
</file>